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33D6D987" w:rsidR="00304EFB" w:rsidRPr="001B2BF8" w:rsidRDefault="00D7747F" w:rsidP="00304EFB">
      <w:pPr>
        <w:rPr>
          <w:rFonts w:ascii="Arial" w:hAnsi="Arial" w:cs="Arial"/>
        </w:rPr>
      </w:pPr>
      <w:r w:rsidRPr="00D7747F">
        <w:rPr>
          <w:rFonts w:ascii="Arial" w:hAnsi="Arial" w:cs="Arial"/>
        </w:rPr>
        <w:t>Hunt Valve Company, Inc., a Fairbanks Morse Defense company, including its parent, divisions, affiliates and subsidiaries, with principle offices at 1913 East State Street, Salem, Ohio 44460</w:t>
      </w:r>
      <w:r w:rsidR="00BD2FDD">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w:t>
      </w:r>
      <w:r w:rsidR="00BD2FDD">
        <w:rPr>
          <w:rFonts w:ascii="Arial" w:hAnsi="Arial" w:cs="Arial"/>
        </w:rPr>
        <w:t xml:space="preserve"> and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BD2FDD">
        <w:rPr>
          <w:rFonts w:ascii="Arial" w:hAnsi="Arial" w:cs="Arial"/>
        </w:rPr>
        <w:t xml:space="preserve">  located</w:t>
      </w:r>
      <w:r w:rsidR="00BD2FDD" w:rsidRPr="00D27031">
        <w:rPr>
          <w:rFonts w:ascii="Arial" w:hAnsi="Arial" w:cs="Arial"/>
        </w:rPr>
        <w:t xml:space="preserve"> </w:t>
      </w:r>
      <w:r w:rsidR="00BD2FDD">
        <w:rPr>
          <w:rFonts w:ascii="Arial" w:hAnsi="Arial" w:cs="Arial"/>
        </w:rPr>
        <w:t xml:space="preserve">at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5319A302"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00BD2FDD">
        <w:rPr>
          <w:rFonts w:ascii="Arial" w:hAnsi="Arial" w:cs="Arial"/>
          <w:spacing w:val="-3"/>
        </w:rPr>
        <w:t>A</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w:t>
      </w:r>
      <w:r w:rsidR="00BD2FDD">
        <w:rPr>
          <w:rFonts w:ascii="Arial" w:hAnsi="Arial" w:cs="Arial"/>
          <w:spacing w:val="-3"/>
        </w:rPr>
        <w:t>ies</w:t>
      </w:r>
      <w:r w:rsidRPr="001B2BF8">
        <w:rPr>
          <w:rFonts w:ascii="Arial" w:hAnsi="Arial" w:cs="Arial"/>
          <w:spacing w:val="-3"/>
        </w:rPr>
        <w:t xml:space="preserve"> for</w:t>
      </w:r>
      <w:r>
        <w:rPr>
          <w:rFonts w:ascii="Arial" w:hAnsi="Arial" w:cs="Arial"/>
          <w:spacing w:val="-3"/>
        </w:rPr>
        <w:t xml:space="preserve"> the other Part</w:t>
      </w:r>
      <w:r w:rsidR="00BD2FDD">
        <w:rPr>
          <w:rFonts w:ascii="Arial" w:hAnsi="Arial" w:cs="Arial"/>
          <w:spacing w:val="-3"/>
        </w:rPr>
        <w:t>ies’</w:t>
      </w:r>
      <w:r>
        <w:rPr>
          <w:rFonts w:ascii="Arial" w:hAnsi="Arial" w:cs="Arial"/>
          <w:spacing w:val="-3"/>
        </w:rPr>
        <w:t xml:space="preserve">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5A93D06D" w:rsidR="00304EFB" w:rsidRPr="007D7AAF"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14:paraId="73AFD251" w14:textId="0AF363A1" w:rsidR="007D7AAF" w:rsidRDefault="007D7AAF" w:rsidP="007D7AAF">
      <w:pPr>
        <w:rPr>
          <w:rFonts w:ascii="Arial" w:hAnsi="Arial" w:cs="Arial"/>
          <w:kern w:val="2"/>
        </w:rPr>
      </w:pPr>
    </w:p>
    <w:p w14:paraId="3641D06F" w14:textId="77777777" w:rsidR="007D7AAF" w:rsidRPr="007D7AAF" w:rsidRDefault="007D7AAF" w:rsidP="007D7AAF">
      <w:pPr>
        <w:rPr>
          <w:rFonts w:ascii="Arial" w:hAnsi="Arial" w:cs="Arial"/>
          <w:kern w:val="2"/>
        </w:rPr>
      </w:pPr>
    </w:p>
    <w:p w14:paraId="497E7867" w14:textId="77777777" w:rsidR="00304EFB" w:rsidRPr="00D7460C" w:rsidRDefault="00304EFB" w:rsidP="00304EFB">
      <w:pPr>
        <w:pStyle w:val="ListParagraph"/>
        <w:rPr>
          <w:rFonts w:ascii="Arial" w:hAnsi="Arial" w:cs="Arial"/>
          <w:kern w:val="2"/>
        </w:rPr>
      </w:pPr>
    </w:p>
    <w:p w14:paraId="22A44783" w14:textId="77777777" w:rsidR="00606AB6" w:rsidRPr="00606AB6"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lastRenderedPageBreak/>
        <w:t>Limitations on Disclosure and Use of Confidential Information</w:t>
      </w:r>
      <w:r w:rsidRPr="00D7460C">
        <w:rPr>
          <w:rFonts w:ascii="Arial" w:hAnsi="Arial" w:cs="Arial"/>
          <w:b/>
          <w:spacing w:val="-3"/>
        </w:rPr>
        <w:t xml:space="preserve">.  </w:t>
      </w:r>
    </w:p>
    <w:p w14:paraId="13DDF3D8" w14:textId="523BCF81" w:rsidR="00304EFB" w:rsidRPr="00606AB6" w:rsidRDefault="00304EFB" w:rsidP="00606AB6">
      <w:pPr>
        <w:rPr>
          <w:rFonts w:ascii="Arial" w:hAnsi="Arial" w:cs="Arial"/>
          <w:kern w:val="2"/>
        </w:rPr>
      </w:pPr>
      <w:r w:rsidRPr="00606AB6">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w:t>
      </w:r>
      <w:r w:rsidR="00B63A11">
        <w:rPr>
          <w:rFonts w:ascii="Arial" w:hAnsi="Arial" w:cs="Arial"/>
        </w:rPr>
        <w:t xml:space="preserve"> </w:t>
      </w:r>
      <w:r w:rsidRPr="00606AB6">
        <w:rPr>
          <w:rFonts w:ascii="Arial" w:hAnsi="Arial" w:cs="Arial"/>
        </w:rPr>
        <w:t>Recipient agrees that it shall not use the Confidential Information for any reason except with respect to the Purpose and shall disclose Confidential Information only to its employees, agents, and representatives who need to know the Confidential Information to further the Purpose.</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lastRenderedPageBreak/>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w:t>
      </w:r>
      <w:proofErr w:type="gramStart"/>
      <w:r w:rsidRPr="00D7460C">
        <w:rPr>
          <w:rFonts w:ascii="Arial" w:hAnsi="Arial" w:cs="Arial"/>
        </w:rPr>
        <w:t>furnish</w:t>
      </w:r>
      <w:proofErr w:type="gramEnd"/>
      <w:r w:rsidRPr="00D7460C">
        <w:rPr>
          <w:rFonts w:ascii="Arial" w:hAnsi="Arial" w:cs="Arial"/>
        </w:rPr>
        <w:t xml:space="preserve">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79CF9F16" w:rsidR="00304EFB" w:rsidRPr="00C54B98" w:rsidRDefault="00304EFB" w:rsidP="00304EFB">
      <w:pPr>
        <w:keepNext/>
        <w:rPr>
          <w:rFonts w:ascii="Arial" w:hAnsi="Arial" w:cs="Arial"/>
        </w:rPr>
      </w:pPr>
      <w:r>
        <w:rPr>
          <w:rFonts w:ascii="Arial" w:hAnsi="Arial" w:cs="Arial"/>
        </w:rPr>
        <w:t xml:space="preserve">On behalf of </w:t>
      </w:r>
      <w:r w:rsidR="00D7747F" w:rsidRPr="00D7747F">
        <w:rPr>
          <w:rFonts w:ascii="Arial" w:hAnsi="Arial" w:cs="Arial"/>
        </w:rPr>
        <w:t>Hunt Valve Company, Inc.</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667B49C" w14:textId="77777777" w:rsidR="00BD2FDD" w:rsidRPr="00C54B98" w:rsidRDefault="00BD2FDD" w:rsidP="00BD2FDD">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23889047" w14:textId="77777777" w:rsidR="00BD2FDD" w:rsidRPr="00C54B98" w:rsidRDefault="00BD2FDD" w:rsidP="00BD2FDD">
      <w:pPr>
        <w:keepNext/>
        <w:tabs>
          <w:tab w:val="left" w:pos="204"/>
        </w:tabs>
        <w:rPr>
          <w:rFonts w:ascii="Arial" w:hAnsi="Arial" w:cs="Arial"/>
        </w:rPr>
      </w:pPr>
    </w:p>
    <w:p w14:paraId="4913C8D6" w14:textId="77777777" w:rsidR="00BD2FDD" w:rsidRPr="00C54B98" w:rsidRDefault="00BD2FDD" w:rsidP="00BD2FDD">
      <w:pPr>
        <w:keepNext/>
        <w:tabs>
          <w:tab w:val="left" w:pos="204"/>
        </w:tabs>
        <w:jc w:val="both"/>
        <w:rPr>
          <w:rFonts w:ascii="Arial" w:hAnsi="Arial" w:cs="Arial"/>
        </w:rPr>
      </w:pPr>
    </w:p>
    <w:p w14:paraId="170C99CE" w14:textId="77777777" w:rsidR="00BD2FDD" w:rsidRPr="00C54B98" w:rsidRDefault="00BD2FDD" w:rsidP="00BD2FDD">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59752211" w14:textId="77777777" w:rsidR="00BD2FDD" w:rsidRPr="00C54B98" w:rsidRDefault="00BD2FDD" w:rsidP="00BD2FDD">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7DA8C2C9" w14:textId="77777777" w:rsidR="00BD2FDD" w:rsidRDefault="00BD2FDD" w:rsidP="00BD2FDD">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4E458657" w14:textId="77777777" w:rsidR="00BD2FDD" w:rsidRPr="00C54B98" w:rsidRDefault="00BD2FDD" w:rsidP="00BD2FDD">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5C3F920B" w14:textId="77777777" w:rsidR="00BD2FDD" w:rsidRPr="00C54B98" w:rsidRDefault="00BD2FDD" w:rsidP="00BD2FDD">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1C3E7D95" w14:textId="77777777" w:rsidR="000E73B2" w:rsidRPr="000E73B2" w:rsidRDefault="000E73B2" w:rsidP="000E73B2">
      <w:pPr>
        <w:rPr>
          <w:rFonts w:ascii="Arial" w:hAnsi="Arial" w:cs="Arial"/>
          <w:sz w:val="22"/>
        </w:rPr>
      </w:pPr>
    </w:p>
    <w:sectPr w:rsidR="000E73B2" w:rsidRPr="000E73B2" w:rsidSect="00267571">
      <w:head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F83" w14:textId="77777777" w:rsidR="004F26BA" w:rsidRDefault="004F26BA" w:rsidP="00267571">
      <w:r>
        <w:separator/>
      </w:r>
    </w:p>
  </w:endnote>
  <w:endnote w:type="continuationSeparator" w:id="0">
    <w:p w14:paraId="58BBE5E2" w14:textId="77777777" w:rsidR="004F26BA" w:rsidRDefault="004F26BA"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D65" w14:textId="77777777" w:rsidR="004F26BA" w:rsidRDefault="004F26BA" w:rsidP="00267571">
      <w:r>
        <w:separator/>
      </w:r>
    </w:p>
  </w:footnote>
  <w:footnote w:type="continuationSeparator" w:id="0">
    <w:p w14:paraId="676487E3" w14:textId="77777777" w:rsidR="004F26BA" w:rsidRDefault="004F26BA"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2C4" w14:textId="77777777" w:rsidR="00DD4B0E" w:rsidRDefault="00DD4B0E">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A13" id="_x0000_t202" coordsize="21600,21600" o:spt="202" path="m,l,21600r21600,l21600,xe">
              <v:stroke joinstyle="miter"/>
              <v:path gradientshapeok="t" o:connecttype="rect"/>
            </v:shapetype>
            <v:shape id="Text Box 4" o:spid="_x0000_s1026" type="#_x0000_t202"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stroked="f">
              <v:path arrowok="t"/>
              <v:textbo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14:paraId="22D9558A" w14:textId="3EE139AA" w:rsidR="00DD4B0E" w:rsidRDefault="00D7747F" w:rsidP="006F2B0A">
                          <w:r>
                            <w:rPr>
                              <w:noProof/>
                            </w:rPr>
                            <w:drawing>
                              <wp:inline distT="0" distB="0" distL="0" distR="0" wp14:anchorId="616DF5F0" wp14:editId="5280E775">
                                <wp:extent cx="1043940" cy="549275"/>
                                <wp:effectExtent l="0" t="0" r="381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24406"/>
                                        <a:stretch/>
                                      </pic:blipFill>
                                      <pic:spPr bwMode="auto">
                                        <a:xfrm>
                                          <a:off x="0" y="0"/>
                                          <a:ext cx="1043940" cy="549275"/>
                                        </a:xfrm>
                                        <a:prstGeom prst="rect">
                                          <a:avLst/>
                                        </a:prstGeom>
                                        <a:ln>
                                          <a:noFill/>
                                        </a:ln>
                                        <a:extLst>
                                          <a:ext uri="{53640926-AAD7-44D8-BBD7-CCE9431645EC}">
                                            <a14:shadowObscured xmlns:a14="http://schemas.microsoft.com/office/drawing/2010/main"/>
                                          </a:ext>
                                        </a:extLst>
                                      </pic:spPr>
                                    </pic:pic>
                                  </a:graphicData>
                                </a:graphic>
                              </wp:inline>
                            </w:drawing>
                          </w:r>
                          <w:r w:rsidR="00F32D9D">
                            <w:rPr>
                              <w:noProof/>
                            </w:rPr>
                            <w:drawing>
                              <wp:inline distT="0" distB="0" distL="0" distR="0" wp14:anchorId="6A68CA0B" wp14:editId="511BED4C">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E5D9B" id="_x0000_t202" coordsize="21600,21600" o:spt="202" path="m,l,21600r21600,l21600,xe">
              <v:stroke joinstyle="miter"/>
              <v:path gradientshapeok="t" o:connecttype="rect"/>
            </v:shapetype>
            <v:shape id="Text Box 5" o:spid="_x0000_s1027" type="#_x0000_t202"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filled="f" stroked="f" strokeweight=".5pt">
              <v:textbox>
                <w:txbxContent>
                  <w:p w14:paraId="22D9558A" w14:textId="3EE139AA" w:rsidR="00DD4B0E" w:rsidRDefault="00D7747F" w:rsidP="006F2B0A">
                    <w:r>
                      <w:rPr>
                        <w:noProof/>
                      </w:rPr>
                      <w:drawing>
                        <wp:inline distT="0" distB="0" distL="0" distR="0" wp14:anchorId="616DF5F0" wp14:editId="5280E775">
                          <wp:extent cx="1043940" cy="549275"/>
                          <wp:effectExtent l="0" t="0" r="381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24406"/>
                                  <a:stretch/>
                                </pic:blipFill>
                                <pic:spPr bwMode="auto">
                                  <a:xfrm>
                                    <a:off x="0" y="0"/>
                                    <a:ext cx="1043940" cy="549275"/>
                                  </a:xfrm>
                                  <a:prstGeom prst="rect">
                                    <a:avLst/>
                                  </a:prstGeom>
                                  <a:ln>
                                    <a:noFill/>
                                  </a:ln>
                                  <a:extLst>
                                    <a:ext uri="{53640926-AAD7-44D8-BBD7-CCE9431645EC}">
                                      <a14:shadowObscured xmlns:a14="http://schemas.microsoft.com/office/drawing/2010/main"/>
                                    </a:ext>
                                  </a:extLst>
                                </pic:spPr>
                              </pic:pic>
                            </a:graphicData>
                          </a:graphic>
                        </wp:inline>
                      </w:drawing>
                    </w:r>
                    <w:r w:rsidR="00F32D9D">
                      <w:rPr>
                        <w:noProof/>
                      </w:rPr>
                      <w:drawing>
                        <wp:inline distT="0" distB="0" distL="0" distR="0" wp14:anchorId="6A68CA0B" wp14:editId="511BED4C">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14:paraId="61636E34" w14:textId="77777777" w:rsidR="00DD4B0E" w:rsidRDefault="00DD4B0E">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523BC"/>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304EFB"/>
    <w:rsid w:val="00316079"/>
    <w:rsid w:val="00317AFC"/>
    <w:rsid w:val="00320142"/>
    <w:rsid w:val="003A2BF9"/>
    <w:rsid w:val="003C24C9"/>
    <w:rsid w:val="003F544D"/>
    <w:rsid w:val="00430B4A"/>
    <w:rsid w:val="00451646"/>
    <w:rsid w:val="004C0718"/>
    <w:rsid w:val="004E5D43"/>
    <w:rsid w:val="004F26BA"/>
    <w:rsid w:val="004F28E2"/>
    <w:rsid w:val="00500C68"/>
    <w:rsid w:val="00504330"/>
    <w:rsid w:val="00512432"/>
    <w:rsid w:val="00525330"/>
    <w:rsid w:val="005263F7"/>
    <w:rsid w:val="005A66A0"/>
    <w:rsid w:val="005D08D1"/>
    <w:rsid w:val="005D5699"/>
    <w:rsid w:val="00606AB6"/>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86729"/>
    <w:rsid w:val="00793B1A"/>
    <w:rsid w:val="007C4DC4"/>
    <w:rsid w:val="007D7AAF"/>
    <w:rsid w:val="007F6261"/>
    <w:rsid w:val="0082177B"/>
    <w:rsid w:val="00825121"/>
    <w:rsid w:val="008640A3"/>
    <w:rsid w:val="008946FA"/>
    <w:rsid w:val="008D1D76"/>
    <w:rsid w:val="00957FD8"/>
    <w:rsid w:val="00983D48"/>
    <w:rsid w:val="009A2A89"/>
    <w:rsid w:val="009E4C05"/>
    <w:rsid w:val="00A020CA"/>
    <w:rsid w:val="00A7579D"/>
    <w:rsid w:val="00B1742D"/>
    <w:rsid w:val="00B37644"/>
    <w:rsid w:val="00B63A11"/>
    <w:rsid w:val="00B659E2"/>
    <w:rsid w:val="00B71CCE"/>
    <w:rsid w:val="00B876DF"/>
    <w:rsid w:val="00BB771E"/>
    <w:rsid w:val="00BD2FDD"/>
    <w:rsid w:val="00C44244"/>
    <w:rsid w:val="00C443C9"/>
    <w:rsid w:val="00CB04D7"/>
    <w:rsid w:val="00CB7F75"/>
    <w:rsid w:val="00D01B0D"/>
    <w:rsid w:val="00D31AB3"/>
    <w:rsid w:val="00D73A6B"/>
    <w:rsid w:val="00D7747F"/>
    <w:rsid w:val="00D92F9F"/>
    <w:rsid w:val="00DA12B7"/>
    <w:rsid w:val="00DA7DD2"/>
    <w:rsid w:val="00DB1012"/>
    <w:rsid w:val="00DD4B0E"/>
    <w:rsid w:val="00DE68F8"/>
    <w:rsid w:val="00DF6BD3"/>
    <w:rsid w:val="00DF7194"/>
    <w:rsid w:val="00E3257E"/>
    <w:rsid w:val="00E440DC"/>
    <w:rsid w:val="00E5560A"/>
    <w:rsid w:val="00EA637E"/>
    <w:rsid w:val="00EB6DF3"/>
    <w:rsid w:val="00EC6F2D"/>
    <w:rsid w:val="00EC7825"/>
    <w:rsid w:val="00F11E43"/>
    <w:rsid w:val="00F32D9D"/>
    <w:rsid w:val="00F46E30"/>
    <w:rsid w:val="00F9219F"/>
    <w:rsid w:val="00FD7B70"/>
    <w:rsid w:val="43731BAF"/>
    <w:rsid w:val="5B3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806F9.BEF6372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https://www.fairbanksmorsedefense.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76E14-2D37-405D-9FAD-9EEBE7D76A82}"/>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22ce54a8-7e14-42cb-a8d4-c71d66b713e2"/>
    <ds:schemaRef ds:uri="3bc98b2e-105e-4161-af3d-72edeb7bbc4f"/>
  </ds:schemaRefs>
</ds:datastoreItem>
</file>

<file path=customXml/itemProps3.xml><?xml version="1.0" encoding="utf-8"?>
<ds:datastoreItem xmlns:ds="http://schemas.openxmlformats.org/officeDocument/2006/customXml" ds:itemID="{869D0F3B-D1AC-418A-B9F5-BB875762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1342</Words>
  <Characters>8766</Characters>
  <Application>Microsoft Office Word</Application>
  <DocSecurity>0</DocSecurity>
  <Lines>730</Lines>
  <Paragraphs>594</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3</cp:revision>
  <cp:lastPrinted>2019-03-06T19:48:00Z</cp:lastPrinted>
  <dcterms:created xsi:type="dcterms:W3CDTF">2022-12-06T19:17:00Z</dcterms:created>
  <dcterms:modified xsi:type="dcterms:W3CDTF">2022-12-06T19:29:00Z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